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bookmarkStart w:id="0" w:name="_Hlk191545471"/>
      <w:bookmarkEnd w:id="0"/>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3F798A17"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4B6B20">
        <w:t>27</w:t>
      </w:r>
      <w:r w:rsidR="005420B4" w:rsidRPr="00893890">
        <w:t>.</w:t>
      </w:r>
      <w:r w:rsidR="00296EFF">
        <w:t xml:space="preserve"> </w:t>
      </w:r>
      <w:r w:rsidR="004A6233">
        <w:t>února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0565C547" w:rsidR="004D79D4" w:rsidRDefault="004B6B20" w:rsidP="00352D8D">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Výhled do roku 2025</w:t>
      </w:r>
      <w:r w:rsidR="004D7D4C">
        <w:rPr>
          <w:rStyle w:val="normaltextrun"/>
          <w:rFonts w:ascii="Arial" w:hAnsi="Arial" w:cs="Arial"/>
          <w:b/>
          <w:bCs/>
          <w:color w:val="000000"/>
          <w:sz w:val="28"/>
          <w:szCs w:val="28"/>
          <w:lang w:val="cs-CZ"/>
        </w:rPr>
        <w:t xml:space="preserve"> pro strategii</w:t>
      </w:r>
      <w:r>
        <w:rPr>
          <w:rStyle w:val="normaltextrun"/>
          <w:rFonts w:ascii="Arial" w:hAnsi="Arial" w:cs="Arial"/>
          <w:b/>
          <w:bCs/>
          <w:color w:val="000000"/>
          <w:sz w:val="28"/>
          <w:szCs w:val="28"/>
          <w:lang w:val="cs-CZ"/>
        </w:rPr>
        <w:t xml:space="preserve"> </w:t>
      </w:r>
      <w:proofErr w:type="spellStart"/>
      <w:r>
        <w:rPr>
          <w:rStyle w:val="normaltextrun"/>
          <w:rFonts w:ascii="Arial" w:hAnsi="Arial" w:cs="Arial"/>
          <w:b/>
          <w:bCs/>
          <w:color w:val="000000"/>
          <w:sz w:val="28"/>
          <w:szCs w:val="28"/>
          <w:lang w:val="cs-CZ"/>
        </w:rPr>
        <w:t>Absolute</w:t>
      </w:r>
      <w:proofErr w:type="spellEnd"/>
      <w:r>
        <w:rPr>
          <w:rStyle w:val="normaltextrun"/>
          <w:rFonts w:ascii="Arial" w:hAnsi="Arial" w:cs="Arial"/>
          <w:b/>
          <w:bCs/>
          <w:color w:val="000000"/>
          <w:sz w:val="28"/>
          <w:szCs w:val="28"/>
          <w:lang w:val="cs-CZ"/>
        </w:rPr>
        <w:t xml:space="preserve"> Return </w:t>
      </w:r>
      <w:proofErr w:type="spellStart"/>
      <w:r>
        <w:rPr>
          <w:rStyle w:val="normaltextrun"/>
          <w:rFonts w:ascii="Arial" w:hAnsi="Arial" w:cs="Arial"/>
          <w:b/>
          <w:bCs/>
          <w:color w:val="000000"/>
          <w:sz w:val="28"/>
          <w:szCs w:val="28"/>
          <w:lang w:val="cs-CZ"/>
        </w:rPr>
        <w:t>Global</w:t>
      </w:r>
      <w:proofErr w:type="spellEnd"/>
      <w:r>
        <w:rPr>
          <w:rStyle w:val="normaltextrun"/>
          <w:rFonts w:ascii="Arial" w:hAnsi="Arial" w:cs="Arial"/>
          <w:b/>
          <w:bCs/>
          <w:color w:val="000000"/>
          <w:sz w:val="28"/>
          <w:szCs w:val="28"/>
          <w:lang w:val="cs-CZ"/>
        </w:rPr>
        <w:t xml:space="preserve"> </w:t>
      </w:r>
      <w:proofErr w:type="spellStart"/>
      <w:r>
        <w:rPr>
          <w:rStyle w:val="normaltextrun"/>
          <w:rFonts w:ascii="Arial" w:hAnsi="Arial" w:cs="Arial"/>
          <w:b/>
          <w:bCs/>
          <w:color w:val="000000"/>
          <w:sz w:val="28"/>
          <w:szCs w:val="28"/>
          <w:lang w:val="cs-CZ"/>
        </w:rPr>
        <w:t>Equity</w:t>
      </w:r>
      <w:proofErr w:type="spellEnd"/>
      <w:r>
        <w:rPr>
          <w:rStyle w:val="normaltextrun"/>
          <w:rFonts w:ascii="Arial" w:hAnsi="Arial" w:cs="Arial"/>
          <w:b/>
          <w:bCs/>
          <w:color w:val="000000"/>
          <w:sz w:val="28"/>
          <w:szCs w:val="28"/>
          <w:lang w:val="cs-CZ"/>
        </w:rPr>
        <w:t xml:space="preserve"> </w:t>
      </w:r>
    </w:p>
    <w:p w14:paraId="38D643E4" w14:textId="77777777" w:rsidR="004A6233" w:rsidRDefault="004A6233" w:rsidP="00352D8D">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p>
    <w:p w14:paraId="14A4C524" w14:textId="0EC9006A" w:rsidR="004A6233" w:rsidRPr="004A6233" w:rsidRDefault="004B6B20" w:rsidP="004B6B20">
      <w:pPr>
        <w:pStyle w:val="Odstavecseseznamem"/>
        <w:numPr>
          <w:ilvl w:val="0"/>
          <w:numId w:val="53"/>
        </w:numPr>
        <w:spacing w:before="0" w:after="160" w:line="360" w:lineRule="auto"/>
        <w:rPr>
          <w:rFonts w:asciiTheme="minorHAnsi" w:hAnsiTheme="minorHAnsi" w:cstheme="minorHAnsi"/>
          <w:b/>
          <w:bCs/>
          <w:sz w:val="24"/>
          <w:szCs w:val="24"/>
        </w:rPr>
      </w:pPr>
      <w:r>
        <w:rPr>
          <w:rFonts w:asciiTheme="minorHAnsi" w:hAnsiTheme="minorHAnsi" w:cstheme="minorHAnsi"/>
          <w:b/>
          <w:bCs/>
          <w:sz w:val="24"/>
          <w:szCs w:val="24"/>
        </w:rPr>
        <w:t>Nejistota pravděpodobně zůstane zvýšená, protože globální trhy se potýkají s inflací, geopolitickými problémy a politickými důsledky, což pro investory představuje vyšší akciové riziko.</w:t>
      </w:r>
    </w:p>
    <w:p w14:paraId="102BB88B" w14:textId="3CA83081" w:rsidR="004A6233" w:rsidRPr="004A6233" w:rsidRDefault="004B6B20" w:rsidP="004B6B20">
      <w:pPr>
        <w:pStyle w:val="Odstavecseseznamem"/>
        <w:numPr>
          <w:ilvl w:val="0"/>
          <w:numId w:val="52"/>
        </w:numPr>
        <w:spacing w:before="0" w:after="160" w:line="360" w:lineRule="auto"/>
        <w:rPr>
          <w:rFonts w:asciiTheme="minorHAnsi" w:hAnsiTheme="minorHAnsi" w:cstheme="minorHAnsi"/>
          <w:b/>
          <w:bCs/>
          <w:sz w:val="24"/>
          <w:szCs w:val="24"/>
        </w:rPr>
      </w:pPr>
      <w:r>
        <w:rPr>
          <w:rFonts w:asciiTheme="minorHAnsi" w:hAnsiTheme="minorHAnsi" w:cstheme="minorHAnsi"/>
          <w:b/>
          <w:bCs/>
          <w:sz w:val="24"/>
          <w:szCs w:val="24"/>
        </w:rPr>
        <w:t>Vzhledem k tomu, že výnosy globálních akciových indexů se stále více soustřeďují na americké trhy a dominuje jim tzv. „velká sedmička“ (</w:t>
      </w:r>
      <w:proofErr w:type="spellStart"/>
      <w:r>
        <w:rPr>
          <w:rFonts w:asciiTheme="minorHAnsi" w:hAnsiTheme="minorHAnsi" w:cstheme="minorHAnsi"/>
          <w:b/>
          <w:bCs/>
          <w:sz w:val="24"/>
          <w:szCs w:val="24"/>
        </w:rPr>
        <w:t>Magnificient</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Seven</w:t>
      </w:r>
      <w:proofErr w:type="spellEnd"/>
      <w:r>
        <w:rPr>
          <w:rFonts w:asciiTheme="minorHAnsi" w:hAnsiTheme="minorHAnsi" w:cstheme="minorHAnsi"/>
          <w:b/>
          <w:bCs/>
          <w:sz w:val="24"/>
          <w:szCs w:val="24"/>
        </w:rPr>
        <w:t>“), jsou investoři zranitelnější vůči poklesům.</w:t>
      </w:r>
    </w:p>
    <w:p w14:paraId="78536464" w14:textId="4DA2356E" w:rsidR="004A6233" w:rsidRPr="004A6233" w:rsidRDefault="004B6B20" w:rsidP="004B6B20">
      <w:pPr>
        <w:pStyle w:val="Odstavecseseznamem"/>
        <w:numPr>
          <w:ilvl w:val="0"/>
          <w:numId w:val="51"/>
        </w:numPr>
        <w:spacing w:before="0" w:after="160" w:line="360" w:lineRule="auto"/>
        <w:rPr>
          <w:rFonts w:asciiTheme="minorHAnsi" w:hAnsiTheme="minorHAnsi" w:cstheme="minorHAnsi"/>
          <w:b/>
          <w:bCs/>
          <w:sz w:val="24"/>
          <w:szCs w:val="24"/>
        </w:rPr>
      </w:pPr>
      <w:r>
        <w:rPr>
          <w:rFonts w:asciiTheme="minorHAnsi" w:hAnsiTheme="minorHAnsi" w:cstheme="minorHAnsi"/>
          <w:b/>
          <w:bCs/>
          <w:sz w:val="24"/>
          <w:szCs w:val="24"/>
        </w:rPr>
        <w:t xml:space="preserve">Tržně neutrální přístupy k akciím, jako je strategie </w:t>
      </w:r>
      <w:proofErr w:type="spellStart"/>
      <w:r>
        <w:rPr>
          <w:rFonts w:asciiTheme="minorHAnsi" w:hAnsiTheme="minorHAnsi" w:cstheme="minorHAnsi"/>
          <w:b/>
          <w:bCs/>
          <w:sz w:val="24"/>
          <w:szCs w:val="24"/>
        </w:rPr>
        <w:t>Absolute</w:t>
      </w:r>
      <w:proofErr w:type="spellEnd"/>
      <w:r>
        <w:rPr>
          <w:rFonts w:asciiTheme="minorHAnsi" w:hAnsiTheme="minorHAnsi" w:cstheme="minorHAnsi"/>
          <w:b/>
          <w:bCs/>
          <w:sz w:val="24"/>
          <w:szCs w:val="24"/>
        </w:rPr>
        <w:t xml:space="preserve"> Return </w:t>
      </w:r>
      <w:proofErr w:type="spellStart"/>
      <w:r>
        <w:rPr>
          <w:rFonts w:asciiTheme="minorHAnsi" w:hAnsiTheme="minorHAnsi" w:cstheme="minorHAnsi"/>
          <w:b/>
          <w:bCs/>
          <w:sz w:val="24"/>
          <w:szCs w:val="24"/>
        </w:rPr>
        <w:t>Global</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Equity</w:t>
      </w:r>
      <w:proofErr w:type="spellEnd"/>
      <w:r>
        <w:rPr>
          <w:rFonts w:asciiTheme="minorHAnsi" w:hAnsiTheme="minorHAnsi" w:cstheme="minorHAnsi"/>
          <w:b/>
          <w:bCs/>
          <w:sz w:val="24"/>
          <w:szCs w:val="24"/>
        </w:rPr>
        <w:t xml:space="preserve"> (ARGE) společnosti Fidelity, by mohly být vhodné k řešení těchto problémů, protože oddělují výnosy od širokých tržních pohybů.</w:t>
      </w:r>
    </w:p>
    <w:p w14:paraId="504BC853" w14:textId="077FEF41" w:rsidR="00C7074E" w:rsidRDefault="005F1A94" w:rsidP="004B6B20">
      <w:pPr>
        <w:spacing w:line="276" w:lineRule="auto"/>
        <w:rPr>
          <w:rFonts w:asciiTheme="minorHAnsi" w:hAnsiTheme="minorHAnsi" w:cstheme="minorHAnsi"/>
          <w:b/>
          <w:bCs/>
          <w:sz w:val="24"/>
          <w:szCs w:val="24"/>
        </w:rPr>
      </w:pPr>
      <w:r>
        <w:rPr>
          <w:rFonts w:asciiTheme="minorHAnsi" w:hAnsiTheme="minorHAnsi" w:cstheme="minorHAnsi"/>
          <w:b/>
          <w:bCs/>
          <w:sz w:val="24"/>
          <w:szCs w:val="24"/>
        </w:rPr>
        <w:t>„</w:t>
      </w:r>
      <w:r w:rsidR="004B6B20">
        <w:rPr>
          <w:rFonts w:asciiTheme="minorHAnsi" w:hAnsiTheme="minorHAnsi" w:cstheme="minorHAnsi"/>
          <w:b/>
          <w:bCs/>
          <w:sz w:val="24"/>
          <w:szCs w:val="24"/>
        </w:rPr>
        <w:t xml:space="preserve">Tržně neutrální přístupy k akciím, jako je strategie </w:t>
      </w:r>
      <w:proofErr w:type="spellStart"/>
      <w:r w:rsidR="004B6B20">
        <w:rPr>
          <w:rFonts w:asciiTheme="minorHAnsi" w:hAnsiTheme="minorHAnsi" w:cstheme="minorHAnsi"/>
          <w:b/>
          <w:bCs/>
          <w:sz w:val="24"/>
          <w:szCs w:val="24"/>
        </w:rPr>
        <w:t>Absolute</w:t>
      </w:r>
      <w:proofErr w:type="spellEnd"/>
      <w:r w:rsidR="004B6B20">
        <w:rPr>
          <w:rFonts w:asciiTheme="minorHAnsi" w:hAnsiTheme="minorHAnsi" w:cstheme="minorHAnsi"/>
          <w:b/>
          <w:bCs/>
          <w:sz w:val="24"/>
          <w:szCs w:val="24"/>
        </w:rPr>
        <w:t xml:space="preserve"> Return </w:t>
      </w:r>
      <w:proofErr w:type="spellStart"/>
      <w:r w:rsidR="004B6B20">
        <w:rPr>
          <w:rFonts w:asciiTheme="minorHAnsi" w:hAnsiTheme="minorHAnsi" w:cstheme="minorHAnsi"/>
          <w:b/>
          <w:bCs/>
          <w:sz w:val="24"/>
          <w:szCs w:val="24"/>
        </w:rPr>
        <w:t>Global</w:t>
      </w:r>
      <w:proofErr w:type="spellEnd"/>
      <w:r w:rsidR="004B6B20">
        <w:rPr>
          <w:rFonts w:asciiTheme="minorHAnsi" w:hAnsiTheme="minorHAnsi" w:cstheme="minorHAnsi"/>
          <w:b/>
          <w:bCs/>
          <w:sz w:val="24"/>
          <w:szCs w:val="24"/>
        </w:rPr>
        <w:t xml:space="preserve"> </w:t>
      </w:r>
      <w:proofErr w:type="spellStart"/>
      <w:r w:rsidR="004B6B20">
        <w:rPr>
          <w:rFonts w:asciiTheme="minorHAnsi" w:hAnsiTheme="minorHAnsi" w:cstheme="minorHAnsi"/>
          <w:b/>
          <w:bCs/>
          <w:sz w:val="24"/>
          <w:szCs w:val="24"/>
        </w:rPr>
        <w:t>Equity</w:t>
      </w:r>
      <w:proofErr w:type="spellEnd"/>
      <w:r w:rsidR="004B6B20">
        <w:rPr>
          <w:rFonts w:asciiTheme="minorHAnsi" w:hAnsiTheme="minorHAnsi" w:cstheme="minorHAnsi"/>
          <w:b/>
          <w:bCs/>
          <w:sz w:val="24"/>
          <w:szCs w:val="24"/>
        </w:rPr>
        <w:t xml:space="preserve"> (ARGE) společnosti Fidelity, by mohly být vhodným řešení nejistoty spojené s tímto obdobím</w:t>
      </w:r>
      <w:r>
        <w:rPr>
          <w:rFonts w:asciiTheme="minorHAnsi" w:hAnsiTheme="minorHAnsi" w:cstheme="minorHAnsi"/>
          <w:b/>
          <w:bCs/>
          <w:sz w:val="24"/>
          <w:szCs w:val="24"/>
        </w:rPr>
        <w:t>“,</w:t>
      </w:r>
      <w:r w:rsidR="004D7D4C">
        <w:rPr>
          <w:rFonts w:asciiTheme="minorHAnsi" w:hAnsiTheme="minorHAnsi" w:cstheme="minorHAnsi"/>
          <w:b/>
          <w:bCs/>
          <w:sz w:val="24"/>
          <w:szCs w:val="24"/>
        </w:rPr>
        <w:t xml:space="preserve"> vysvětluj</w:t>
      </w:r>
      <w:r>
        <w:rPr>
          <w:rFonts w:asciiTheme="minorHAnsi" w:hAnsiTheme="minorHAnsi" w:cstheme="minorHAnsi"/>
          <w:b/>
          <w:bCs/>
          <w:sz w:val="24"/>
          <w:szCs w:val="24"/>
        </w:rPr>
        <w:t>e</w:t>
      </w:r>
      <w:r w:rsidR="004D7D4C">
        <w:rPr>
          <w:rFonts w:asciiTheme="minorHAnsi" w:hAnsiTheme="minorHAnsi" w:cstheme="minorHAnsi"/>
          <w:b/>
          <w:bCs/>
          <w:sz w:val="24"/>
          <w:szCs w:val="24"/>
        </w:rPr>
        <w:t xml:space="preserve"> </w:t>
      </w:r>
      <w:proofErr w:type="spellStart"/>
      <w:r w:rsidR="004D7D4C">
        <w:rPr>
          <w:rFonts w:asciiTheme="minorHAnsi" w:hAnsiTheme="minorHAnsi" w:cstheme="minorHAnsi"/>
          <w:b/>
          <w:bCs/>
          <w:sz w:val="24"/>
          <w:szCs w:val="24"/>
        </w:rPr>
        <w:t>Matt</w:t>
      </w:r>
      <w:proofErr w:type="spellEnd"/>
      <w:r w:rsidR="004D7D4C">
        <w:rPr>
          <w:rFonts w:asciiTheme="minorHAnsi" w:hAnsiTheme="minorHAnsi" w:cstheme="minorHAnsi"/>
          <w:b/>
          <w:bCs/>
          <w:sz w:val="24"/>
          <w:szCs w:val="24"/>
        </w:rPr>
        <w:t xml:space="preserve"> Jones, který řídí strategie ve společnosti Fidelity</w:t>
      </w:r>
      <w:r w:rsidR="004B6B20">
        <w:rPr>
          <w:rFonts w:asciiTheme="minorHAnsi" w:hAnsiTheme="minorHAnsi" w:cstheme="minorHAnsi"/>
          <w:b/>
          <w:bCs/>
          <w:sz w:val="24"/>
          <w:szCs w:val="24"/>
        </w:rPr>
        <w:t xml:space="preserve">. </w:t>
      </w:r>
    </w:p>
    <w:p w14:paraId="7A6C0E7F" w14:textId="50A73383" w:rsidR="00C7074E" w:rsidRDefault="004B6B20" w:rsidP="00C7074E">
      <w:pPr>
        <w:spacing w:line="360" w:lineRule="auto"/>
        <w:rPr>
          <w:rFonts w:asciiTheme="minorHAnsi" w:hAnsiTheme="minorHAnsi" w:cstheme="minorHAnsi"/>
          <w:b/>
          <w:bCs/>
          <w:sz w:val="24"/>
          <w:szCs w:val="24"/>
        </w:rPr>
      </w:pPr>
      <w:r>
        <w:rPr>
          <w:rFonts w:asciiTheme="minorHAnsi" w:hAnsiTheme="minorHAnsi" w:cstheme="minorHAnsi"/>
          <w:b/>
          <w:bCs/>
          <w:sz w:val="24"/>
          <w:szCs w:val="24"/>
        </w:rPr>
        <w:t>Jaké jsou vyhlídky, pokud jde o</w:t>
      </w:r>
      <w:r w:rsidR="004D7D4C">
        <w:rPr>
          <w:rFonts w:asciiTheme="minorHAnsi" w:hAnsiTheme="minorHAnsi" w:cstheme="minorHAnsi"/>
          <w:b/>
          <w:bCs/>
          <w:sz w:val="24"/>
          <w:szCs w:val="24"/>
        </w:rPr>
        <w:t xml:space="preserve"> tuto</w:t>
      </w:r>
      <w:r>
        <w:rPr>
          <w:rFonts w:asciiTheme="minorHAnsi" w:hAnsiTheme="minorHAnsi" w:cstheme="minorHAnsi"/>
          <w:b/>
          <w:bCs/>
          <w:sz w:val="24"/>
          <w:szCs w:val="24"/>
        </w:rPr>
        <w:t xml:space="preserve"> třídu aktiv?</w:t>
      </w:r>
    </w:p>
    <w:p w14:paraId="1A272F49" w14:textId="344D2075" w:rsidR="004B6B20" w:rsidRDefault="005F1A94" w:rsidP="00C7074E">
      <w:pPr>
        <w:spacing w:line="360" w:lineRule="auto"/>
      </w:pPr>
      <w:r>
        <w:t xml:space="preserve">MJ: </w:t>
      </w:r>
      <w:r w:rsidR="004B6B20" w:rsidRPr="004B6B20">
        <w:t>Vzhledem k makroekonomické nejistotě, kterou ještě podtrhují inflační tlaky, geopolitické napětí, nekonzistentnost fiskální politiky a důsledky nekonvenčních nástrojů měnové politiky, hledají investoři způsoby, jak těžit z dlouhodobé akciové expozice, aniž by nutně museli podstupovat všechna tržní rizika. Neutrální strategie (EMN) vůči akciovému trhu mají dobrou pozici pro zvládnutí těchto problémů.</w:t>
      </w:r>
    </w:p>
    <w:p w14:paraId="42993C3C" w14:textId="77777777" w:rsidR="004B6B20" w:rsidRPr="004B6B20" w:rsidRDefault="004B6B20" w:rsidP="00C7074E">
      <w:pPr>
        <w:spacing w:line="360" w:lineRule="auto"/>
      </w:pPr>
      <w:r w:rsidRPr="004B6B20">
        <w:t xml:space="preserve">Za prvé, tyto strategie současného otevírání krátkých i dlouhých pozic se ve své podstatě snaží dosahovat lepších výsledků za většiny tržních podmínek tím, že získávají alfu z relativních rozdílů ve výkonnosti jednotlivých akcií. V případě strategie Fidelity </w:t>
      </w:r>
      <w:proofErr w:type="spellStart"/>
      <w:r w:rsidRPr="004B6B20">
        <w:t>Absolute</w:t>
      </w:r>
      <w:proofErr w:type="spellEnd"/>
      <w:r w:rsidRPr="004B6B20">
        <w:t xml:space="preserve"> Return </w:t>
      </w:r>
      <w:proofErr w:type="spellStart"/>
      <w:r w:rsidRPr="004B6B20">
        <w:t>Global</w:t>
      </w:r>
      <w:proofErr w:type="spellEnd"/>
      <w:r w:rsidRPr="004B6B20">
        <w:t xml:space="preserve"> </w:t>
      </w:r>
      <w:proofErr w:type="spellStart"/>
      <w:r w:rsidRPr="004B6B20">
        <w:t>Equity</w:t>
      </w:r>
      <w:proofErr w:type="spellEnd"/>
      <w:r w:rsidRPr="004B6B20">
        <w:t xml:space="preserve"> (ARGE) může využití nejpřesvědčivějších doporučení k nákupu a prodeji akcií z naší globální vlastní výzkumné platformy přinést potenciál alfa a zároveň minimalizovat široké tržní expozice.</w:t>
      </w:r>
    </w:p>
    <w:p w14:paraId="62485316" w14:textId="122730C5" w:rsidR="00C7074E" w:rsidRPr="004B6B20" w:rsidRDefault="004B6B20" w:rsidP="004B6B20">
      <w:pPr>
        <w:pStyle w:val="F2-zkladn"/>
      </w:pPr>
      <w:r w:rsidRPr="004B6B20">
        <w:t xml:space="preserve">Za druhé se očekává, že nejistota zůstane zvýšená, což povede ke zvýšení rizik pro investory s dlouhodobými expozicemi v akciových indexech. Strategie EMN se snaží snížit volatilitu portfolia na zlomek srovnatelných dlouhodobých akciových indexů. Například roční volatilita strategie ARGE </w:t>
      </w:r>
      <w:r w:rsidRPr="004B6B20">
        <w:lastRenderedPageBreak/>
        <w:t>společnosti Fidelity činila za čtyřleté období končící 30. zářím 5,4 %, což je přibližně třetina indexu MSCI ACWI. Kromě toho mohou strategie EMN být potenciálně úspěšné ve volatilním prostředí a těžit ze zvýšeného rozptylu mezi akciemi díky svému long-</w:t>
      </w:r>
      <w:proofErr w:type="spellStart"/>
      <w:r w:rsidRPr="004B6B20">
        <w:t>short</w:t>
      </w:r>
      <w:proofErr w:type="spellEnd"/>
      <w:r w:rsidRPr="004B6B20">
        <w:t xml:space="preserve"> přístupu (metoda současného otevírání krátkých i dlouhých pozic).</w:t>
      </w:r>
    </w:p>
    <w:p w14:paraId="35BD38B9" w14:textId="77777777" w:rsidR="004B6B20" w:rsidRPr="004B6B20" w:rsidRDefault="004B6B20" w:rsidP="0090004B">
      <w:pPr>
        <w:spacing w:line="360" w:lineRule="auto"/>
      </w:pPr>
      <w:r w:rsidRPr="004B6B20">
        <w:t>Za třetí, měnící se vztah mezi tradičními dluhopisy a akciemi zkomplikoval předpoklady diverzifikace portfolia. V minulosti sloužily dluhopisy jako zajištění proti akciovému riziku, ale tento vztah začal být nestabilní. Proto se možná více investorů poohlíží po jiných možnostech, jako jsou třeba neutrální strategie ohledně akciových trhů (EMN), které mohou tento problém obejít tím, že se zaměřují na idiosynkratické faktory specifické pro jednotlivé akcie a nespoléhají se na širší pohyby na trhu.</w:t>
      </w:r>
    </w:p>
    <w:p w14:paraId="640D5E24" w14:textId="5BE4DF43" w:rsidR="0090004B" w:rsidRPr="0090004B" w:rsidRDefault="00C7074E" w:rsidP="0090004B">
      <w:pPr>
        <w:spacing w:line="360" w:lineRule="auto"/>
        <w:rPr>
          <w:rFonts w:asciiTheme="minorHAnsi" w:hAnsiTheme="minorHAnsi" w:cstheme="minorHAnsi"/>
          <w:b/>
          <w:bCs/>
          <w:sz w:val="24"/>
          <w:szCs w:val="24"/>
        </w:rPr>
      </w:pPr>
      <w:r>
        <w:rPr>
          <w:rFonts w:asciiTheme="minorHAnsi" w:hAnsiTheme="minorHAnsi" w:cstheme="minorHAnsi"/>
          <w:b/>
          <w:bCs/>
          <w:sz w:val="24"/>
          <w:szCs w:val="24"/>
        </w:rPr>
        <w:t xml:space="preserve">Jak </w:t>
      </w:r>
      <w:r w:rsidR="004B6B20">
        <w:rPr>
          <w:rFonts w:asciiTheme="minorHAnsi" w:hAnsiTheme="minorHAnsi" w:cstheme="minorHAnsi"/>
          <w:b/>
          <w:bCs/>
          <w:sz w:val="24"/>
          <w:szCs w:val="24"/>
        </w:rPr>
        <w:t>za této situace stavíte své portfolio?</w:t>
      </w:r>
    </w:p>
    <w:p w14:paraId="244C293D" w14:textId="3044C26F" w:rsidR="004B6B20" w:rsidRDefault="005F1A94" w:rsidP="00207349">
      <w:pPr>
        <w:spacing w:line="360" w:lineRule="auto"/>
      </w:pPr>
      <w:r>
        <w:t xml:space="preserve">MJ: </w:t>
      </w:r>
      <w:r w:rsidR="004B6B20" w:rsidRPr="004B6B20">
        <w:t xml:space="preserve">Důležité je poznamenat, že strategie EMN jsou strukturovány tak, aby nebyly závislé na směřování trhů. Na rozdíl od jiných aktivních akciových strategií není naším cílem převážit určitý sektor a </w:t>
      </w:r>
      <w:proofErr w:type="spellStart"/>
      <w:r w:rsidR="004B6B20" w:rsidRPr="004B6B20">
        <w:t>podvážit</w:t>
      </w:r>
      <w:proofErr w:type="spellEnd"/>
      <w:r w:rsidR="004B6B20" w:rsidRPr="004B6B20">
        <w:t xml:space="preserve"> jiný sektor na základě názorů trhu. </w:t>
      </w:r>
    </w:p>
    <w:p w14:paraId="71064424" w14:textId="4A3FFFDF" w:rsidR="00207349" w:rsidRPr="004B6B20" w:rsidRDefault="004B6B20" w:rsidP="006A3E33">
      <w:r w:rsidRPr="004B6B20">
        <w:t>Naše strategie EMN těží z toho, že disciplinovaně a důsledně získává hodnotu z nákupních a prodejních doporučení našich analytiků. Při sestavování našeho tržně neutrálního portfolia se dlouhé a krátké pozice v portfoliu vzájemně odrážejí na úrovni zemí, odvětví, měn a faktorů, aby se tato rizika zmírnila (viz obrázek 1).</w:t>
      </w:r>
    </w:p>
    <w:p w14:paraId="5511BE11" w14:textId="4BE8E018" w:rsidR="004B6B20" w:rsidRPr="004B6B20" w:rsidRDefault="00026E7A" w:rsidP="004B6B20">
      <w:pPr>
        <w:pStyle w:val="F2-zkladn"/>
      </w:pPr>
      <w:r w:rsidRPr="00026E7A">
        <w:t xml:space="preserve">Zbývají skutečně idiosynkratická rizika specifická pro jednotlivé akcie, aby bylo možné dosáhnout výnosů, které nejsou korelovány s ostatními tradičními třídami aktiv, jako je pevný výnos a akcie, a také s indexy EMN, jako je například HFR </w:t>
      </w:r>
      <w:proofErr w:type="spellStart"/>
      <w:r w:rsidRPr="00026E7A">
        <w:t>Equity</w:t>
      </w:r>
      <w:proofErr w:type="spellEnd"/>
      <w:r w:rsidRPr="00026E7A">
        <w:t xml:space="preserve"> Market </w:t>
      </w:r>
      <w:proofErr w:type="spellStart"/>
      <w:r w:rsidRPr="00026E7A">
        <w:t>Neutral</w:t>
      </w:r>
      <w:proofErr w:type="spellEnd"/>
      <w:r w:rsidRPr="00026E7A">
        <w:t xml:space="preserve"> Index.</w:t>
      </w:r>
    </w:p>
    <w:p w14:paraId="423A05EE" w14:textId="27CC84EC" w:rsidR="00026E7A" w:rsidRPr="0090004B" w:rsidRDefault="00026E7A" w:rsidP="00026E7A">
      <w:pPr>
        <w:spacing w:line="360" w:lineRule="auto"/>
        <w:rPr>
          <w:rFonts w:asciiTheme="minorHAnsi" w:hAnsiTheme="minorHAnsi" w:cstheme="minorHAnsi"/>
          <w:b/>
          <w:bCs/>
          <w:sz w:val="24"/>
          <w:szCs w:val="24"/>
        </w:rPr>
      </w:pPr>
      <w:r>
        <w:rPr>
          <w:noProof/>
        </w:rPr>
        <w:drawing>
          <wp:anchor distT="0" distB="0" distL="114300" distR="114300" simplePos="0" relativeHeight="251660288" behindDoc="0" locked="0" layoutInCell="1" allowOverlap="1" wp14:anchorId="3609C8C0" wp14:editId="173FB2F9">
            <wp:simplePos x="0" y="0"/>
            <wp:positionH relativeFrom="column">
              <wp:posOffset>-39370</wp:posOffset>
            </wp:positionH>
            <wp:positionV relativeFrom="paragraph">
              <wp:posOffset>475615</wp:posOffset>
            </wp:positionV>
            <wp:extent cx="5759450" cy="2162810"/>
            <wp:effectExtent l="0" t="0" r="0" b="8890"/>
            <wp:wrapTopAndBottom/>
            <wp:docPr id="66329813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98136" name="Obrázek 66329813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2162810"/>
                    </a:xfrm>
                    <a:prstGeom prst="rect">
                      <a:avLst/>
                    </a:prstGeom>
                  </pic:spPr>
                </pic:pic>
              </a:graphicData>
            </a:graphic>
          </wp:anchor>
        </w:drawing>
      </w:r>
      <w:r>
        <w:rPr>
          <w:rFonts w:asciiTheme="minorHAnsi" w:hAnsiTheme="minorHAnsi" w:cstheme="minorHAnsi"/>
          <w:b/>
          <w:bCs/>
          <w:sz w:val="24"/>
          <w:szCs w:val="24"/>
        </w:rPr>
        <w:t>Obrázek 1: Dlouhé vs. krátké pozice podle odvětví, regionu a tržní kapitalizace (ARGE)</w:t>
      </w:r>
    </w:p>
    <w:p w14:paraId="416024E4" w14:textId="669CA1A5" w:rsidR="00207349" w:rsidRPr="00026E7A" w:rsidRDefault="00026E7A" w:rsidP="006A3E33">
      <w:pPr>
        <w:rPr>
          <w:i/>
          <w:iCs/>
          <w:noProof/>
          <w:sz w:val="18"/>
          <w:szCs w:val="18"/>
        </w:rPr>
      </w:pPr>
      <w:r w:rsidRPr="00026E7A">
        <w:rPr>
          <w:i/>
          <w:iCs/>
          <w:noProof/>
          <w:sz w:val="18"/>
          <w:szCs w:val="18"/>
        </w:rPr>
        <w:t>Zdroj: Fidelity International ke dni 30. listopadu 2024. Údaje o pozicích strategie Absolute Return Global Equity společnosti Fidelity.</w:t>
      </w:r>
    </w:p>
    <w:p w14:paraId="7FB342AA" w14:textId="2D5BDF7D" w:rsidR="00026E7A" w:rsidRPr="00026E7A" w:rsidRDefault="00026E7A" w:rsidP="00026E7A">
      <w:r w:rsidRPr="00026E7A">
        <w:t xml:space="preserve">To neznamená, že události a nálada na trhu nemají na strategie EMN vůbec negativní vliv. K propadům dochází zejména v okamžicích, kdy krátkodobá dynamika trhu není v souladu se zaměřením strategie na dlouhodobé základy na úrovni společností. V takovém prostředí může strategie zažít idiosynkratické </w:t>
      </w:r>
      <w:r w:rsidRPr="00026E7A">
        <w:lastRenderedPageBreak/>
        <w:t>epizody nižší výkonnosti. Podle našeho názoru jsou však rizika poklesu relativně omezená. Maximální pokles strategie ARGE od jejího vytvoření činí přibližně 5,2 %, přičemž se sem zahrnuje i narušení trhu v důsledku krize v souvislosti s epidemií COVID-19.</w:t>
      </w:r>
    </w:p>
    <w:p w14:paraId="1B1181E6" w14:textId="38999BD9" w:rsidR="00026E7A" w:rsidRPr="00026E7A" w:rsidRDefault="00026E7A" w:rsidP="00026E7A">
      <w:r w:rsidRPr="00026E7A">
        <w:t>Pro optimalizaci investiční výkonnosti by investoři měli přistupovat k rizikům poklesů disciplinovaně a z dlouhodobého hlediska. Klíčový je spolehlivý rámec pro řízení rizik. Vezměme si například americké akcie, které v listopadu 2024 tvořily přibližně 67 % indexu MSCI ACWI podle tržní kapitalizace, zatímco před třemi lety to bylo pouze 57 %. Koncentrace trhu vzrostla a dominují mu akcie tzv. „velké sedmičky“ („Magnificent Seven“) - Alphabet, Amazon, Apple, Meta Platforms, Microsoft, Nvidia a Tesla.</w:t>
      </w:r>
    </w:p>
    <w:p w14:paraId="09B11E10" w14:textId="77777777" w:rsidR="00026E7A" w:rsidRPr="00026E7A" w:rsidRDefault="00026E7A" w:rsidP="00026E7A">
      <w:pPr>
        <w:rPr>
          <w:noProof/>
        </w:rPr>
      </w:pPr>
      <w:r w:rsidRPr="00026E7A">
        <w:rPr>
          <w:noProof/>
        </w:rPr>
        <w:t>To naznačuje, že dlouhodobá akciová portfolia investorů měřená podle globálních akciových indexů se stala méně diverzifikovanými. Riziko se stále více koncentruje do menšího počtu faktorů ovlivňujících výnos a investoři pak mohou být dost zaskočeni. Například ve Spojených státech trhy očekávají, že politiky podporující růst pod vedením republikánské administrativy, jako je deregulace, snižování daní a nižší úrokové sazby, přinesou americkým akciím příznivý vítr. Investoři by ovšem měli vzít v úvahu i možnost, že tyto kroky nebudou probíhat podle očekávání, budou kompenzovány jinými politikami, jako jsou cla, nebo k nim vůbec nedojde.</w:t>
      </w:r>
    </w:p>
    <w:p w14:paraId="6ADB068E" w14:textId="77777777" w:rsidR="00026E7A" w:rsidRPr="00026E7A" w:rsidRDefault="00026E7A" w:rsidP="00026E7A">
      <w:pPr>
        <w:rPr>
          <w:noProof/>
        </w:rPr>
      </w:pPr>
      <w:r w:rsidRPr="00026E7A">
        <w:rPr>
          <w:noProof/>
        </w:rPr>
        <w:t>Jak se mění dynamika makroekonomických rizik, rizik souvisejících s jednotlivými zeměmi, odvětvími a dalších rizik, je zohledněna v názorech našich analytiků a začleněna do procesu tvorby portfolia, který je podporován naším vlastním optimalizačním nástrojem. Bez ohledu na to, jaký makroekonomický scénář nastane, je naše strategie EMN nastavena tak, aby mohla těžit z idiosynkratických, pro akcie specifických rizikových faktorů. V době, kdy se očekává, že makroekonomické a tržní rušivé vlivy povedou k rostoucí volatilitě, může naše strategie EMN nabídnout disciplinovanou a přesvědčivou možnost pro investory, kteří hledají větší konzistentnost v nejistých časech.</w:t>
      </w:r>
    </w:p>
    <w:p w14:paraId="5F9F1627" w14:textId="25660F08" w:rsidR="00284D83" w:rsidRPr="00284D83" w:rsidRDefault="006D31D9" w:rsidP="006A3E33">
      <w:r>
        <w:rPr>
          <w:rFonts w:asciiTheme="minorHAnsi" w:hAnsiTheme="minorHAnsi" w:cstheme="minorHAnsi"/>
          <w:b/>
          <w:bCs/>
          <w:sz w:val="24"/>
          <w:szCs w:val="24"/>
        </w:rPr>
        <w:br/>
      </w:r>
    </w:p>
    <w:p w14:paraId="1E84F3E1" w14:textId="77777777" w:rsidR="006D31D9" w:rsidRDefault="006D31D9" w:rsidP="006D31D9">
      <w:pPr>
        <w:spacing w:before="0" w:line="240" w:lineRule="atLeast"/>
        <w:rPr>
          <w:b/>
        </w:rPr>
      </w:pPr>
      <w:r w:rsidRPr="00455A3C">
        <w:rPr>
          <w:b/>
        </w:rPr>
        <w:t>Pro více informací kontaktujte:</w:t>
      </w:r>
    </w:p>
    <w:p w14:paraId="6D8CC146" w14:textId="77777777" w:rsidR="006D31D9" w:rsidRDefault="006D31D9" w:rsidP="006D31D9">
      <w:pPr>
        <w:spacing w:before="0" w:line="240" w:lineRule="atLeast"/>
        <w:rPr>
          <w:b/>
        </w:rPr>
      </w:pPr>
      <w:r>
        <w:rPr>
          <w:b/>
        </w:rPr>
        <w:t>Eliška Krohová</w:t>
      </w:r>
    </w:p>
    <w:p w14:paraId="4BDF7FA8" w14:textId="77777777" w:rsidR="006D31D9" w:rsidRPr="00455A3C" w:rsidRDefault="006D31D9" w:rsidP="006D31D9">
      <w:pPr>
        <w:spacing w:before="0" w:line="240" w:lineRule="atLeast"/>
        <w:rPr>
          <w:b/>
          <w:bCs/>
        </w:rPr>
      </w:pPr>
      <w:r w:rsidRPr="00455A3C">
        <w:rPr>
          <w:b/>
          <w:bCs/>
        </w:rPr>
        <w:t>Crest Communications, a.s.</w:t>
      </w:r>
    </w:p>
    <w:p w14:paraId="58313928" w14:textId="77777777" w:rsidR="006D31D9" w:rsidRPr="00455A3C" w:rsidRDefault="006D31D9" w:rsidP="006D31D9">
      <w:pPr>
        <w:spacing w:before="0" w:line="240" w:lineRule="atLeast"/>
      </w:pPr>
    </w:p>
    <w:p w14:paraId="736A874C" w14:textId="77777777" w:rsidR="006D31D9" w:rsidRPr="00455A3C" w:rsidRDefault="006D31D9" w:rsidP="006D31D9">
      <w:pPr>
        <w:spacing w:before="0" w:line="240" w:lineRule="atLeast"/>
      </w:pPr>
      <w:r w:rsidRPr="00455A3C">
        <w:t>Ostrovní 126/30</w:t>
      </w:r>
    </w:p>
    <w:p w14:paraId="58D571A8" w14:textId="77777777" w:rsidR="006D31D9" w:rsidRPr="00455A3C" w:rsidRDefault="006D31D9" w:rsidP="006D31D9">
      <w:pPr>
        <w:spacing w:before="0" w:line="240" w:lineRule="atLeast"/>
      </w:pPr>
      <w:r w:rsidRPr="00455A3C">
        <w:t>110 00 Praha 1</w:t>
      </w:r>
    </w:p>
    <w:p w14:paraId="0F762E66" w14:textId="77777777" w:rsidR="006D31D9" w:rsidRPr="00455A3C" w:rsidRDefault="006D31D9" w:rsidP="006D31D9">
      <w:pPr>
        <w:spacing w:before="0" w:line="240" w:lineRule="atLeast"/>
      </w:pPr>
      <w:r>
        <w:t>gsm: + 420 720 406 659</w:t>
      </w:r>
    </w:p>
    <w:p w14:paraId="43DEB5E7" w14:textId="77777777" w:rsidR="006D31D9" w:rsidRDefault="006D31D9" w:rsidP="006D31D9">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38A6317D" w14:textId="77777777" w:rsidR="006D31D9" w:rsidRDefault="006D31D9" w:rsidP="002027ED">
      <w:pPr>
        <w:shd w:val="clear" w:color="auto" w:fill="FFFFFF"/>
        <w:spacing w:before="0" w:line="360" w:lineRule="atLeast"/>
        <w:rPr>
          <w:b/>
          <w:bCs/>
        </w:rPr>
      </w:pPr>
    </w:p>
    <w:p w14:paraId="621D7100" w14:textId="1F1441E4" w:rsidR="006D31D9" w:rsidRDefault="006D31D9" w:rsidP="002027ED">
      <w:pPr>
        <w:shd w:val="clear" w:color="auto" w:fill="FFFFFF"/>
        <w:spacing w:before="0" w:line="360" w:lineRule="atLeast"/>
        <w:rPr>
          <w:b/>
          <w:bCs/>
        </w:rPr>
      </w:pPr>
    </w:p>
    <w:p w14:paraId="163D8DC9" w14:textId="5AC5676C"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w:t>
      </w:r>
      <w:r w:rsidRPr="00D404D5">
        <w:rPr>
          <w:color w:val="000000"/>
          <w:lang w:eastAsia="en-US"/>
        </w:rPr>
        <w:lastRenderedPageBreak/>
        <w:t>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lastRenderedPageBreak/>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382E6526"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49424F96" w:rsidR="00D20058" w:rsidRDefault="00026E7A" w:rsidP="00154229">
      <w:pPr>
        <w:pStyle w:val="F2-zkladn"/>
      </w:pPr>
      <w:r w:rsidRPr="00026E7A">
        <w:t>MKAT12719</w:t>
      </w:r>
    </w:p>
    <w:sectPr w:rsidR="00D20058"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056CF" w14:textId="77777777" w:rsidR="00EE5287" w:rsidRDefault="00EE5287">
      <w:r>
        <w:separator/>
      </w:r>
    </w:p>
  </w:endnote>
  <w:endnote w:type="continuationSeparator" w:id="0">
    <w:p w14:paraId="01BA05D2" w14:textId="77777777" w:rsidR="00EE5287" w:rsidRDefault="00EE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FAB40" w14:textId="77777777" w:rsidR="00EE5287" w:rsidRDefault="00EE5287">
      <w:r>
        <w:separator/>
      </w:r>
    </w:p>
  </w:footnote>
  <w:footnote w:type="continuationSeparator" w:id="0">
    <w:p w14:paraId="76B917A5" w14:textId="77777777" w:rsidR="00EE5287" w:rsidRDefault="00EE5287">
      <w:r>
        <w:continuationSeparator/>
      </w:r>
    </w:p>
  </w:footnote>
  <w:footnote w:type="continuationNotice" w:id="1">
    <w:p w14:paraId="17AB3E73" w14:textId="77777777" w:rsidR="00EE5287" w:rsidRDefault="00EE52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4CB061D"/>
    <w:multiLevelType w:val="hybridMultilevel"/>
    <w:tmpl w:val="7EAA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7A71D6C"/>
    <w:multiLevelType w:val="hybridMultilevel"/>
    <w:tmpl w:val="AE961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7EC7D15"/>
    <w:multiLevelType w:val="hybridMultilevel"/>
    <w:tmpl w:val="1A466890"/>
    <w:lvl w:ilvl="0" w:tplc="B5A296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5"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B73A26"/>
    <w:multiLevelType w:val="hybridMultilevel"/>
    <w:tmpl w:val="2C40FD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9627A67"/>
    <w:multiLevelType w:val="hybridMultilevel"/>
    <w:tmpl w:val="39EA25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C6B6707"/>
    <w:multiLevelType w:val="hybridMultilevel"/>
    <w:tmpl w:val="7B3C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8"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0"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26800DB"/>
    <w:multiLevelType w:val="hybridMultilevel"/>
    <w:tmpl w:val="B8760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9"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E0A2C93"/>
    <w:multiLevelType w:val="hybridMultilevel"/>
    <w:tmpl w:val="6570E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3033605">
    <w:abstractNumId w:val="18"/>
  </w:num>
  <w:num w:numId="2" w16cid:durableId="146671352">
    <w:abstractNumId w:val="39"/>
  </w:num>
  <w:num w:numId="3" w16cid:durableId="1266381172">
    <w:abstractNumId w:val="47"/>
  </w:num>
  <w:num w:numId="4" w16cid:durableId="1719279861">
    <w:abstractNumId w:val="26"/>
  </w:num>
  <w:num w:numId="5" w16cid:durableId="118620334">
    <w:abstractNumId w:val="28"/>
  </w:num>
  <w:num w:numId="6" w16cid:durableId="1824814676">
    <w:abstractNumId w:val="24"/>
  </w:num>
  <w:num w:numId="7" w16cid:durableId="1926299718">
    <w:abstractNumId w:val="45"/>
  </w:num>
  <w:num w:numId="8" w16cid:durableId="1498184102">
    <w:abstractNumId w:val="31"/>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2"/>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6"/>
  </w:num>
  <w:num w:numId="21" w16cid:durableId="1100370002">
    <w:abstractNumId w:val="37"/>
  </w:num>
  <w:num w:numId="22" w16cid:durableId="2069836537">
    <w:abstractNumId w:val="13"/>
  </w:num>
  <w:num w:numId="23" w16cid:durableId="1663701074">
    <w:abstractNumId w:val="10"/>
  </w:num>
  <w:num w:numId="24" w16cid:durableId="661811107">
    <w:abstractNumId w:val="14"/>
  </w:num>
  <w:num w:numId="25" w16cid:durableId="367528897">
    <w:abstractNumId w:val="22"/>
  </w:num>
  <w:num w:numId="26" w16cid:durableId="66655553">
    <w:abstractNumId w:val="44"/>
  </w:num>
  <w:num w:numId="27" w16cid:durableId="1412049229">
    <w:abstractNumId w:val="36"/>
  </w:num>
  <w:num w:numId="28" w16cid:durableId="1854563770">
    <w:abstractNumId w:val="23"/>
  </w:num>
  <w:num w:numId="29" w16cid:durableId="1511022718">
    <w:abstractNumId w:val="25"/>
  </w:num>
  <w:num w:numId="30" w16cid:durableId="189878341">
    <w:abstractNumId w:val="27"/>
  </w:num>
  <w:num w:numId="31" w16cid:durableId="408891146">
    <w:abstractNumId w:val="38"/>
  </w:num>
  <w:num w:numId="32" w16cid:durableId="668292118">
    <w:abstractNumId w:val="48"/>
  </w:num>
  <w:num w:numId="33" w16cid:durableId="1545678938">
    <w:abstractNumId w:val="34"/>
  </w:num>
  <w:num w:numId="34" w16cid:durableId="334190881">
    <w:abstractNumId w:val="46"/>
  </w:num>
  <w:num w:numId="35" w16cid:durableId="867832294">
    <w:abstractNumId w:val="50"/>
  </w:num>
  <w:num w:numId="36" w16cid:durableId="1707019958">
    <w:abstractNumId w:val="15"/>
  </w:num>
  <w:num w:numId="37" w16cid:durableId="1229464119">
    <w:abstractNumId w:val="43"/>
  </w:num>
  <w:num w:numId="38" w16cid:durableId="1404453976">
    <w:abstractNumId w:val="17"/>
  </w:num>
  <w:num w:numId="39" w16cid:durableId="639572714">
    <w:abstractNumId w:val="32"/>
  </w:num>
  <w:num w:numId="40" w16cid:durableId="1181239656">
    <w:abstractNumId w:val="40"/>
  </w:num>
  <w:num w:numId="41" w16cid:durableId="1776094729">
    <w:abstractNumId w:val="49"/>
  </w:num>
  <w:num w:numId="42" w16cid:durableId="58788658">
    <w:abstractNumId w:val="29"/>
  </w:num>
  <w:num w:numId="43" w16cid:durableId="1389382411">
    <w:abstractNumId w:val="42"/>
  </w:num>
  <w:num w:numId="44" w16cid:durableId="608975387">
    <w:abstractNumId w:val="21"/>
  </w:num>
  <w:num w:numId="45" w16cid:durableId="77678656">
    <w:abstractNumId w:val="51"/>
  </w:num>
  <w:num w:numId="46" w16cid:durableId="168758274">
    <w:abstractNumId w:val="41"/>
  </w:num>
  <w:num w:numId="47" w16cid:durableId="1247224458">
    <w:abstractNumId w:val="33"/>
  </w:num>
  <w:num w:numId="48" w16cid:durableId="437212441">
    <w:abstractNumId w:val="19"/>
  </w:num>
  <w:num w:numId="49" w16cid:durableId="1095831192">
    <w:abstractNumId w:val="52"/>
  </w:num>
  <w:num w:numId="50" w16cid:durableId="2049990179">
    <w:abstractNumId w:val="30"/>
  </w:num>
  <w:num w:numId="51" w16cid:durableId="1656181880">
    <w:abstractNumId w:val="35"/>
  </w:num>
  <w:num w:numId="52" w16cid:durableId="1811750984">
    <w:abstractNumId w:val="20"/>
  </w:num>
  <w:num w:numId="53" w16cid:durableId="160387702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BEC"/>
    <w:rsid w:val="00013232"/>
    <w:rsid w:val="00016492"/>
    <w:rsid w:val="00017E0A"/>
    <w:rsid w:val="00020F03"/>
    <w:rsid w:val="00021D97"/>
    <w:rsid w:val="0002277D"/>
    <w:rsid w:val="000237A9"/>
    <w:rsid w:val="00026B23"/>
    <w:rsid w:val="00026E7A"/>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6816"/>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1EB"/>
    <w:rsid w:val="000B5605"/>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147"/>
    <w:rsid w:val="000F2443"/>
    <w:rsid w:val="000F274E"/>
    <w:rsid w:val="000F27E1"/>
    <w:rsid w:val="000F330C"/>
    <w:rsid w:val="000F4953"/>
    <w:rsid w:val="000F5A28"/>
    <w:rsid w:val="000F5BBC"/>
    <w:rsid w:val="000F687B"/>
    <w:rsid w:val="000F75AD"/>
    <w:rsid w:val="000F75F1"/>
    <w:rsid w:val="000F7C86"/>
    <w:rsid w:val="0010078F"/>
    <w:rsid w:val="00102DF4"/>
    <w:rsid w:val="0011085D"/>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56AB9"/>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07349"/>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1586"/>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5E86"/>
    <w:rsid w:val="00276830"/>
    <w:rsid w:val="002772EA"/>
    <w:rsid w:val="00277457"/>
    <w:rsid w:val="002804AB"/>
    <w:rsid w:val="0028058D"/>
    <w:rsid w:val="0028110E"/>
    <w:rsid w:val="0028168C"/>
    <w:rsid w:val="00281857"/>
    <w:rsid w:val="00282531"/>
    <w:rsid w:val="00283492"/>
    <w:rsid w:val="00283AE5"/>
    <w:rsid w:val="00283F1B"/>
    <w:rsid w:val="00284C66"/>
    <w:rsid w:val="00284D83"/>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1D74"/>
    <w:rsid w:val="002E3325"/>
    <w:rsid w:val="002E497E"/>
    <w:rsid w:val="002E754C"/>
    <w:rsid w:val="002E76D1"/>
    <w:rsid w:val="002F0500"/>
    <w:rsid w:val="002F1160"/>
    <w:rsid w:val="002F3B85"/>
    <w:rsid w:val="002F5491"/>
    <w:rsid w:val="002F6812"/>
    <w:rsid w:val="002F7A8F"/>
    <w:rsid w:val="00301671"/>
    <w:rsid w:val="00301881"/>
    <w:rsid w:val="0030211F"/>
    <w:rsid w:val="0030276E"/>
    <w:rsid w:val="00302961"/>
    <w:rsid w:val="00303102"/>
    <w:rsid w:val="00304242"/>
    <w:rsid w:val="00307253"/>
    <w:rsid w:val="0030766B"/>
    <w:rsid w:val="003078EB"/>
    <w:rsid w:val="00307E7E"/>
    <w:rsid w:val="00310C6A"/>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E98"/>
    <w:rsid w:val="00344296"/>
    <w:rsid w:val="00346522"/>
    <w:rsid w:val="00347B43"/>
    <w:rsid w:val="0035034F"/>
    <w:rsid w:val="00351441"/>
    <w:rsid w:val="003519AF"/>
    <w:rsid w:val="003524F1"/>
    <w:rsid w:val="00352768"/>
    <w:rsid w:val="00352D8D"/>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6C10"/>
    <w:rsid w:val="003A7050"/>
    <w:rsid w:val="003A7482"/>
    <w:rsid w:val="003A75FD"/>
    <w:rsid w:val="003A7DAF"/>
    <w:rsid w:val="003B397A"/>
    <w:rsid w:val="003B3BF6"/>
    <w:rsid w:val="003B4278"/>
    <w:rsid w:val="003B5520"/>
    <w:rsid w:val="003B6B7E"/>
    <w:rsid w:val="003C0075"/>
    <w:rsid w:val="003C06F7"/>
    <w:rsid w:val="003C1594"/>
    <w:rsid w:val="003C19B7"/>
    <w:rsid w:val="003C2C24"/>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004D"/>
    <w:rsid w:val="004113D5"/>
    <w:rsid w:val="004118D0"/>
    <w:rsid w:val="004125BB"/>
    <w:rsid w:val="00412615"/>
    <w:rsid w:val="00412819"/>
    <w:rsid w:val="0041337E"/>
    <w:rsid w:val="004177E3"/>
    <w:rsid w:val="004202CB"/>
    <w:rsid w:val="004205FB"/>
    <w:rsid w:val="00420D53"/>
    <w:rsid w:val="004224B6"/>
    <w:rsid w:val="004235A0"/>
    <w:rsid w:val="004238B6"/>
    <w:rsid w:val="00423C1E"/>
    <w:rsid w:val="00423C6F"/>
    <w:rsid w:val="00424771"/>
    <w:rsid w:val="00425B35"/>
    <w:rsid w:val="004273ED"/>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0D4"/>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A6233"/>
    <w:rsid w:val="004B10E5"/>
    <w:rsid w:val="004B1F43"/>
    <w:rsid w:val="004B25A0"/>
    <w:rsid w:val="004B29BE"/>
    <w:rsid w:val="004B366C"/>
    <w:rsid w:val="004B3A45"/>
    <w:rsid w:val="004B3E14"/>
    <w:rsid w:val="004B4063"/>
    <w:rsid w:val="004B4F7D"/>
    <w:rsid w:val="004B4F84"/>
    <w:rsid w:val="004B5505"/>
    <w:rsid w:val="004B55E8"/>
    <w:rsid w:val="004B5CB6"/>
    <w:rsid w:val="004B6B20"/>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D7D4C"/>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35FE7"/>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A94"/>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2620"/>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5AA9"/>
    <w:rsid w:val="00627B44"/>
    <w:rsid w:val="00627C23"/>
    <w:rsid w:val="006305EF"/>
    <w:rsid w:val="00631992"/>
    <w:rsid w:val="00631E30"/>
    <w:rsid w:val="00632705"/>
    <w:rsid w:val="00633C8F"/>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3E33"/>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31D9"/>
    <w:rsid w:val="006D4517"/>
    <w:rsid w:val="006D5F3A"/>
    <w:rsid w:val="006D6BCD"/>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40B"/>
    <w:rsid w:val="0070043C"/>
    <w:rsid w:val="007004B5"/>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33D"/>
    <w:rsid w:val="00750405"/>
    <w:rsid w:val="007507C1"/>
    <w:rsid w:val="00751546"/>
    <w:rsid w:val="007541CE"/>
    <w:rsid w:val="007545E5"/>
    <w:rsid w:val="00755577"/>
    <w:rsid w:val="00755878"/>
    <w:rsid w:val="00756B91"/>
    <w:rsid w:val="00757E96"/>
    <w:rsid w:val="00760A86"/>
    <w:rsid w:val="00764A53"/>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62B9"/>
    <w:rsid w:val="007C730D"/>
    <w:rsid w:val="007C7393"/>
    <w:rsid w:val="007D0C6A"/>
    <w:rsid w:val="007D391B"/>
    <w:rsid w:val="007D3B29"/>
    <w:rsid w:val="007D43E6"/>
    <w:rsid w:val="007D4EC6"/>
    <w:rsid w:val="007D5CD8"/>
    <w:rsid w:val="007D613C"/>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50166"/>
    <w:rsid w:val="00850650"/>
    <w:rsid w:val="00850E5D"/>
    <w:rsid w:val="00851E91"/>
    <w:rsid w:val="008524C4"/>
    <w:rsid w:val="0085268C"/>
    <w:rsid w:val="00854ABD"/>
    <w:rsid w:val="00856ED6"/>
    <w:rsid w:val="00861070"/>
    <w:rsid w:val="00862CAD"/>
    <w:rsid w:val="00863C3C"/>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04B"/>
    <w:rsid w:val="00900CE5"/>
    <w:rsid w:val="00901E9B"/>
    <w:rsid w:val="00902BBA"/>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24EA"/>
    <w:rsid w:val="00963A1A"/>
    <w:rsid w:val="00963E1E"/>
    <w:rsid w:val="00964590"/>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85F03"/>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2A1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6C40"/>
    <w:rsid w:val="00C67B70"/>
    <w:rsid w:val="00C7074E"/>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3438A"/>
    <w:rsid w:val="00D404D5"/>
    <w:rsid w:val="00D40A73"/>
    <w:rsid w:val="00D40EA0"/>
    <w:rsid w:val="00D41193"/>
    <w:rsid w:val="00D4162D"/>
    <w:rsid w:val="00D4240E"/>
    <w:rsid w:val="00D42F1B"/>
    <w:rsid w:val="00D4392D"/>
    <w:rsid w:val="00D45F62"/>
    <w:rsid w:val="00D5110F"/>
    <w:rsid w:val="00D513E0"/>
    <w:rsid w:val="00D5168F"/>
    <w:rsid w:val="00D524BC"/>
    <w:rsid w:val="00D541BE"/>
    <w:rsid w:val="00D546FB"/>
    <w:rsid w:val="00D550D9"/>
    <w:rsid w:val="00D567C0"/>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27D73"/>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2CE"/>
    <w:rsid w:val="00E9330B"/>
    <w:rsid w:val="00E937F2"/>
    <w:rsid w:val="00E96BC6"/>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4D1D"/>
    <w:rsid w:val="00EE5287"/>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163B"/>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3862945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3555759">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581938695">
      <w:bodyDiv w:val="1"/>
      <w:marLeft w:val="0"/>
      <w:marRight w:val="0"/>
      <w:marTop w:val="0"/>
      <w:marBottom w:val="0"/>
      <w:divBdr>
        <w:top w:val="none" w:sz="0" w:space="0" w:color="auto"/>
        <w:left w:val="none" w:sz="0" w:space="0" w:color="auto"/>
        <w:bottom w:val="none" w:sz="0" w:space="0" w:color="auto"/>
        <w:right w:val="none" w:sz="0" w:space="0" w:color="auto"/>
      </w:divBdr>
    </w:div>
    <w:div w:id="1606620878">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1684</Words>
  <Characters>9939</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11600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Eliška Krohová</cp:lastModifiedBy>
  <cp:revision>2</cp:revision>
  <cp:lastPrinted>2015-11-30T16:29:00Z</cp:lastPrinted>
  <dcterms:created xsi:type="dcterms:W3CDTF">2025-02-27T10:35:00Z</dcterms:created>
  <dcterms:modified xsi:type="dcterms:W3CDTF">2025-02-27T10:35:00Z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